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2ADCC5E3" w:rsidR="005A16AF" w:rsidRPr="00E62241" w:rsidRDefault="00F72CD1" w:rsidP="005A16AF">
      <w:pPr>
        <w:suppressAutoHyphens/>
        <w:rPr>
          <w:rFonts w:ascii="Times New Roman" w:hAnsi="Times New Roman"/>
          <w:b/>
          <w:spacing w:val="-2"/>
          <w:sz w:val="24"/>
        </w:rPr>
      </w:pPr>
      <w:r w:rsidRPr="00F72CD1">
        <w:rPr>
          <w:rFonts w:ascii="Times New Roman" w:hAnsi="Times New Roman"/>
          <w:b/>
          <w:spacing w:val="-2"/>
          <w:sz w:val="24"/>
        </w:rPr>
        <w:t xml:space="preserve">Serbia Accelerating Innovation and Growth Entrepreneurship </w:t>
      </w:r>
      <w:r w:rsidR="005A16AF" w:rsidRPr="00674B08">
        <w:rPr>
          <w:rFonts w:ascii="Times New Roman" w:hAnsi="Times New Roman"/>
          <w:b/>
          <w:spacing w:val="-2"/>
          <w:sz w:val="24"/>
        </w:rPr>
        <w:t>(</w:t>
      </w:r>
      <w:r>
        <w:rPr>
          <w:rFonts w:ascii="Times New Roman" w:hAnsi="Times New Roman"/>
          <w:b/>
          <w:spacing w:val="-2"/>
          <w:sz w:val="24"/>
        </w:rPr>
        <w:t>SAIGE</w:t>
      </w:r>
      <w:r w:rsidR="005A16AF" w:rsidRPr="00674B08">
        <w:rPr>
          <w:rFonts w:ascii="Times New Roman" w:hAnsi="Times New Roman"/>
          <w:b/>
          <w:spacing w:val="-2"/>
          <w:sz w:val="24"/>
        </w:rPr>
        <w:t>)</w:t>
      </w:r>
    </w:p>
    <w:p w14:paraId="4F1BE01C" w14:textId="0FEC3CF7"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72CD1">
        <w:rPr>
          <w:rFonts w:ascii="Times New Roman" w:hAnsi="Times New Roman"/>
          <w:b/>
        </w:rPr>
        <w:t>P</w:t>
      </w:r>
      <w:r w:rsidR="00F72CD1" w:rsidRPr="00F72CD1">
        <w:rPr>
          <w:rFonts w:ascii="Times New Roman" w:hAnsi="Times New Roman"/>
          <w:b/>
        </w:rPr>
        <w:t>170185</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264604AE" w:rsidR="001A5D44" w:rsidRDefault="00DA76A3" w:rsidP="00DA76A3">
      <w:pPr>
        <w:pStyle w:val="ListParagraph"/>
        <w:numPr>
          <w:ilvl w:val="0"/>
          <w:numId w:val="1"/>
        </w:numPr>
        <w:suppressAutoHyphens/>
        <w:jc w:val="both"/>
        <w:rPr>
          <w:rFonts w:ascii="Times New Roman" w:hAnsi="Times New Roman"/>
          <w:b/>
          <w:sz w:val="24"/>
          <w:szCs w:val="24"/>
        </w:rPr>
      </w:pPr>
      <w:r>
        <w:rPr>
          <w:rFonts w:ascii="Times New Roman" w:hAnsi="Times New Roman"/>
          <w:b/>
          <w:sz w:val="24"/>
          <w:szCs w:val="24"/>
        </w:rPr>
        <w:t xml:space="preserve">RDIs Reforms Analyst </w:t>
      </w:r>
      <w:r w:rsidRPr="00DA76A3">
        <w:rPr>
          <w:rFonts w:ascii="Times New Roman" w:hAnsi="Times New Roman"/>
          <w:b/>
          <w:sz w:val="24"/>
          <w:szCs w:val="24"/>
        </w:rPr>
        <w:t xml:space="preserve">(Full-time </w:t>
      </w:r>
      <w:r w:rsidR="003415DE">
        <w:rPr>
          <w:rFonts w:ascii="Times New Roman" w:hAnsi="Times New Roman"/>
          <w:b/>
          <w:sz w:val="24"/>
          <w:szCs w:val="24"/>
        </w:rPr>
        <w:t>individual consultant)</w:t>
      </w:r>
      <w:r w:rsidR="001A5D44" w:rsidRPr="00217E25">
        <w:rPr>
          <w:rFonts w:ascii="Times New Roman" w:hAnsi="Times New Roman"/>
          <w:b/>
          <w:sz w:val="24"/>
          <w:szCs w:val="24"/>
        </w:rPr>
        <w:t>, Reference No. SER-</w:t>
      </w:r>
      <w:r w:rsidR="00F72CD1">
        <w:rPr>
          <w:rFonts w:ascii="Times New Roman" w:hAnsi="Times New Roman"/>
          <w:b/>
          <w:sz w:val="24"/>
          <w:szCs w:val="24"/>
        </w:rPr>
        <w:t>SAIGE</w:t>
      </w:r>
      <w:r w:rsidR="001A5D44" w:rsidRPr="00217E25">
        <w:rPr>
          <w:rFonts w:ascii="Times New Roman" w:hAnsi="Times New Roman"/>
          <w:b/>
          <w:sz w:val="24"/>
          <w:szCs w:val="24"/>
        </w:rPr>
        <w:t>-IC-CS-</w:t>
      </w:r>
      <w:r w:rsidR="005A16AF">
        <w:rPr>
          <w:rFonts w:ascii="Times New Roman" w:hAnsi="Times New Roman"/>
          <w:b/>
          <w:sz w:val="24"/>
          <w:szCs w:val="24"/>
        </w:rPr>
        <w:t>2</w:t>
      </w:r>
      <w:r w:rsidR="00DC3271">
        <w:rPr>
          <w:rFonts w:ascii="Times New Roman" w:hAnsi="Times New Roman"/>
          <w:b/>
          <w:sz w:val="24"/>
          <w:szCs w:val="24"/>
        </w:rPr>
        <w:t>2</w:t>
      </w:r>
      <w:r w:rsidR="00F72CD1">
        <w:rPr>
          <w:rFonts w:ascii="Times New Roman" w:hAnsi="Times New Roman"/>
          <w:b/>
          <w:sz w:val="24"/>
          <w:szCs w:val="24"/>
        </w:rPr>
        <w:t>-</w:t>
      </w:r>
      <w:r>
        <w:rPr>
          <w:rFonts w:ascii="Times New Roman" w:hAnsi="Times New Roman"/>
          <w:b/>
          <w:sz w:val="24"/>
          <w:szCs w:val="24"/>
        </w:rPr>
        <w:t>40</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7DBEDE13" w14:textId="501A3D03" w:rsidR="007B239D" w:rsidRPr="007C31FA" w:rsidRDefault="00F72CD1" w:rsidP="00916E24">
      <w:pPr>
        <w:suppressAutoHyphens/>
        <w:jc w:val="both"/>
        <w:rPr>
          <w:rFonts w:ascii="Times New Roman" w:hAnsi="Times New Roman"/>
          <w:spacing w:val="-2"/>
          <w:sz w:val="24"/>
          <w:szCs w:val="24"/>
        </w:rPr>
      </w:pPr>
      <w:r w:rsidRPr="00F72CD1">
        <w:rPr>
          <w:rFonts w:ascii="Times New Roman" w:hAnsi="Times New Roman"/>
          <w:spacing w:val="-2"/>
          <w:sz w:val="24"/>
          <w:szCs w:val="24"/>
        </w:rPr>
        <w:t>Serbia has received a loan from the World Bank (Bank), through the “Serbia Accelerating Innovation and Growth Entrepreneurship Project” (Project), to contribute to the country’s growth and competitiveness by improving (</w:t>
      </w:r>
      <w:proofErr w:type="spellStart"/>
      <w:r w:rsidRPr="00F72CD1">
        <w:rPr>
          <w:rFonts w:ascii="Times New Roman" w:hAnsi="Times New Roman"/>
          <w:spacing w:val="-2"/>
          <w:sz w:val="24"/>
          <w:szCs w:val="24"/>
        </w:rPr>
        <w:t>i</w:t>
      </w:r>
      <w:proofErr w:type="spellEnd"/>
      <w:r w:rsidRPr="00F72CD1">
        <w:rPr>
          <w:rFonts w:ascii="Times New Roman" w:hAnsi="Times New Roman"/>
          <w:spacing w:val="-2"/>
          <w:sz w:val="24"/>
          <w:szCs w:val="24"/>
        </w:rPr>
        <w:t>) relevance and excellence of scientific research and (ii) innovative entrepreneurship and access to finance for enterprise growth</w:t>
      </w:r>
      <w:r w:rsidR="007B239D" w:rsidRPr="005A16AF">
        <w:rPr>
          <w:rFonts w:ascii="Times New Roman" w:hAnsi="Times New Roman"/>
          <w:spacing w:val="-2"/>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32053375" w14:textId="4E35C332" w:rsidR="004E4B87" w:rsidRPr="00127F0A" w:rsidRDefault="00DC3271" w:rsidP="00F72CD1">
      <w:pPr>
        <w:jc w:val="both"/>
        <w:rPr>
          <w:rFonts w:ascii="Times New Roman" w:hAnsi="Times New Roman"/>
          <w:sz w:val="24"/>
          <w:szCs w:val="24"/>
        </w:rPr>
      </w:pPr>
      <w:r w:rsidRPr="00115846">
        <w:rPr>
          <w:rFonts w:ascii="Times New Roman" w:hAnsi="Times New Roman"/>
          <w:b/>
          <w:sz w:val="24"/>
          <w:szCs w:val="24"/>
        </w:rPr>
        <w:t>Objectives of Engagement</w:t>
      </w:r>
      <w:r w:rsidR="004E4B87" w:rsidRPr="00127F0A">
        <w:rPr>
          <w:rFonts w:ascii="Times New Roman" w:hAnsi="Times New Roman"/>
          <w:sz w:val="24"/>
          <w:szCs w:val="24"/>
        </w:rPr>
        <w:t>:</w:t>
      </w:r>
    </w:p>
    <w:p w14:paraId="5BF8A602" w14:textId="77777777" w:rsidR="007C31FA" w:rsidRPr="00F72CD1" w:rsidRDefault="007C31FA" w:rsidP="00F72CD1">
      <w:pPr>
        <w:jc w:val="both"/>
        <w:rPr>
          <w:rFonts w:ascii="Times New Roman" w:hAnsi="Times New Roman"/>
          <w:spacing w:val="-2"/>
          <w:sz w:val="24"/>
          <w:szCs w:val="24"/>
        </w:rPr>
      </w:pPr>
    </w:p>
    <w:p w14:paraId="20042D9F" w14:textId="32E3A6CD" w:rsidR="004E4B87" w:rsidRPr="007C31FA" w:rsidRDefault="00DA76A3" w:rsidP="007C31FA">
      <w:pPr>
        <w:suppressAutoHyphens/>
        <w:jc w:val="both"/>
        <w:rPr>
          <w:rFonts w:ascii="Times New Roman" w:hAnsi="Times New Roman"/>
          <w:spacing w:val="-2"/>
          <w:sz w:val="24"/>
          <w:szCs w:val="24"/>
        </w:rPr>
      </w:pPr>
      <w:r w:rsidRPr="00DA76A3">
        <w:rPr>
          <w:rFonts w:ascii="Times New Roman" w:hAnsi="Times New Roman"/>
          <w:spacing w:val="-2"/>
          <w:sz w:val="24"/>
          <w:szCs w:val="24"/>
        </w:rPr>
        <w:t>The objective of Research and Development Institutions (RDIs) Reforms Analyst’s engagement is to support and assist activities under the SAIGE for 1.2 RDI Reform Subcomponent. He/she will be responsible to manage and coordinate the activities related to the planned technical assistance for RDIs in the transformation process, working in close coordination with the RDI reforms Senior Advisor. Technical Assistance interventions are crucial part of the transformation process whereby multi-stakeholders are involved, such as: RDI management, RDI research and administrative staff, a number of advisors, individual consultants and capacity building providers. In order to secure successful implementation and smooth coordination of the Technical Assistance interventions, the PIU/</w:t>
      </w:r>
      <w:proofErr w:type="spellStart"/>
      <w:r w:rsidRPr="00DA76A3">
        <w:rPr>
          <w:rFonts w:ascii="Times New Roman" w:hAnsi="Times New Roman"/>
          <w:spacing w:val="-2"/>
          <w:sz w:val="24"/>
          <w:szCs w:val="24"/>
        </w:rPr>
        <w:t>MoESTD</w:t>
      </w:r>
      <w:proofErr w:type="spellEnd"/>
      <w:r w:rsidRPr="00DA76A3">
        <w:rPr>
          <w:rFonts w:ascii="Times New Roman" w:hAnsi="Times New Roman"/>
          <w:spacing w:val="-2"/>
          <w:sz w:val="24"/>
          <w:szCs w:val="24"/>
        </w:rPr>
        <w:t xml:space="preserve"> need to secure specific expertise with the engagement of RDIs Reforms Analyst</w:t>
      </w:r>
      <w:r w:rsidR="00607FDC">
        <w:rPr>
          <w:rFonts w:ascii="Times New Roman" w:hAnsi="Times New Roman"/>
          <w:spacing w:val="-2"/>
          <w:sz w:val="24"/>
          <w:szCs w:val="24"/>
        </w:rPr>
        <w:t>.</w:t>
      </w:r>
    </w:p>
    <w:p w14:paraId="318C41F6" w14:textId="6CCB4E36" w:rsidR="009D07CB" w:rsidRPr="007C31FA" w:rsidRDefault="009D07CB" w:rsidP="007C31FA">
      <w:pPr>
        <w:suppressAutoHyphens/>
        <w:jc w:val="both"/>
        <w:rPr>
          <w:rFonts w:ascii="Times New Roman" w:hAnsi="Times New Roman"/>
          <w:spacing w:val="-2"/>
          <w:sz w:val="24"/>
          <w:szCs w:val="24"/>
        </w:rPr>
      </w:pPr>
    </w:p>
    <w:p w14:paraId="2C29FFDE" w14:textId="6E9ABCC5" w:rsidR="00B246A0" w:rsidRDefault="00DC3271" w:rsidP="00B246A0">
      <w:pPr>
        <w:suppressAutoHyphens/>
        <w:jc w:val="both"/>
        <w:rPr>
          <w:rFonts w:ascii="Times New Roman" w:hAnsi="Times New Roman"/>
          <w:b/>
          <w:sz w:val="24"/>
          <w:szCs w:val="24"/>
        </w:rPr>
      </w:pPr>
      <w:r w:rsidRPr="007C31FA">
        <w:rPr>
          <w:rFonts w:ascii="Times New Roman" w:hAnsi="Times New Roman"/>
          <w:b/>
          <w:sz w:val="24"/>
          <w:szCs w:val="24"/>
        </w:rPr>
        <w:t>Scope of work</w:t>
      </w:r>
      <w:r>
        <w:rPr>
          <w:rFonts w:ascii="Times New Roman" w:hAnsi="Times New Roman"/>
          <w:b/>
          <w:sz w:val="24"/>
          <w:szCs w:val="24"/>
        </w:rPr>
        <w:t>:</w:t>
      </w:r>
    </w:p>
    <w:p w14:paraId="4148D4B1" w14:textId="77777777" w:rsidR="00DA76A3" w:rsidRDefault="00DA76A3" w:rsidP="00B246A0">
      <w:pPr>
        <w:suppressAutoHyphens/>
        <w:jc w:val="both"/>
        <w:rPr>
          <w:rFonts w:ascii="Times New Roman" w:hAnsi="Times New Roman"/>
          <w:b/>
          <w:sz w:val="24"/>
          <w:szCs w:val="24"/>
        </w:rPr>
      </w:pPr>
    </w:p>
    <w:p w14:paraId="233C1B1C" w14:textId="545261F7" w:rsidR="00DA76A3" w:rsidRPr="00DA76A3" w:rsidRDefault="00DA76A3" w:rsidP="00DA76A3">
      <w:pPr>
        <w:numPr>
          <w:ilvl w:val="0"/>
          <w:numId w:val="16"/>
        </w:numPr>
        <w:spacing w:before="120" w:line="276" w:lineRule="auto"/>
        <w:contextualSpacing/>
        <w:jc w:val="both"/>
        <w:rPr>
          <w:rFonts w:ascii="Times New Roman" w:hAnsi="Times New Roman"/>
          <w:spacing w:val="-2"/>
          <w:sz w:val="24"/>
          <w:szCs w:val="24"/>
        </w:rPr>
      </w:pPr>
      <w:r w:rsidRPr="00DA76A3">
        <w:rPr>
          <w:rFonts w:ascii="Times New Roman" w:hAnsi="Times New Roman"/>
          <w:spacing w:val="-2"/>
          <w:sz w:val="24"/>
          <w:szCs w:val="24"/>
        </w:rPr>
        <w:t xml:space="preserve">Support the Project Manager, RDI Reforms Senior Adviser and </w:t>
      </w:r>
      <w:r w:rsidRPr="00DA76A3">
        <w:rPr>
          <w:rFonts w:ascii="Times New Roman" w:hAnsi="Times New Roman"/>
          <w:spacing w:val="-2"/>
          <w:sz w:val="24"/>
          <w:szCs w:val="24"/>
        </w:rPr>
        <w:t xml:space="preserve">Project Implementation Unit (PIU) </w:t>
      </w:r>
      <w:r w:rsidRPr="00DA76A3">
        <w:rPr>
          <w:rFonts w:ascii="Times New Roman" w:hAnsi="Times New Roman"/>
          <w:spacing w:val="-2"/>
          <w:sz w:val="24"/>
          <w:szCs w:val="24"/>
        </w:rPr>
        <w:t xml:space="preserve">staff in the implementation of the Subcomponent 1.2 RDI Reforms with a focus on Technical Assistance activities for RDIs; </w:t>
      </w:r>
    </w:p>
    <w:p w14:paraId="53E8B432" w14:textId="77777777" w:rsidR="00DA76A3" w:rsidRPr="00DA76A3" w:rsidRDefault="00DA76A3" w:rsidP="00DA76A3">
      <w:pPr>
        <w:numPr>
          <w:ilvl w:val="0"/>
          <w:numId w:val="16"/>
        </w:numPr>
        <w:spacing w:after="120" w:line="276" w:lineRule="auto"/>
        <w:ind w:left="714" w:hanging="357"/>
        <w:contextualSpacing/>
        <w:jc w:val="both"/>
        <w:rPr>
          <w:rFonts w:ascii="Times New Roman" w:hAnsi="Times New Roman"/>
          <w:spacing w:val="-2"/>
          <w:sz w:val="24"/>
          <w:szCs w:val="24"/>
        </w:rPr>
      </w:pPr>
      <w:r w:rsidRPr="00DA76A3">
        <w:rPr>
          <w:rFonts w:ascii="Times New Roman" w:hAnsi="Times New Roman"/>
          <w:spacing w:val="-2"/>
          <w:sz w:val="24"/>
          <w:szCs w:val="24"/>
        </w:rPr>
        <w:t xml:space="preserve">Support the Project Manager, RDI Reforms Senior Adviser and PIU staff in coordination and communication with the RDIs under transformation, with advisors, consultants and capacity building service providers to ensure timely and efficient delivery of technical assistance, consulting services and training plans; </w:t>
      </w:r>
    </w:p>
    <w:p w14:paraId="2155D6C1" w14:textId="77777777" w:rsidR="00DA76A3" w:rsidRPr="00DA76A3" w:rsidRDefault="00DA76A3" w:rsidP="00DA76A3">
      <w:pPr>
        <w:pStyle w:val="ListParagraph"/>
        <w:numPr>
          <w:ilvl w:val="0"/>
          <w:numId w:val="16"/>
        </w:numPr>
        <w:spacing w:line="276" w:lineRule="auto"/>
        <w:ind w:left="714" w:hanging="357"/>
        <w:jc w:val="both"/>
        <w:rPr>
          <w:rFonts w:ascii="Times New Roman" w:hAnsi="Times New Roman"/>
          <w:spacing w:val="-2"/>
          <w:sz w:val="24"/>
          <w:szCs w:val="24"/>
        </w:rPr>
      </w:pPr>
      <w:r w:rsidRPr="00DA76A3">
        <w:rPr>
          <w:rFonts w:ascii="Times New Roman" w:hAnsi="Times New Roman"/>
          <w:spacing w:val="-2"/>
          <w:sz w:val="24"/>
          <w:szCs w:val="24"/>
        </w:rPr>
        <w:t>Provide assistance in the organization, coordination, integration and monitoring of operations related to Technical Assistance activities for RDIs under the Subcomponent 1.2 RDI Reforms, including maintaining correspondence with RDIs, advisors, individual consultants and consulting firms;</w:t>
      </w:r>
    </w:p>
    <w:p w14:paraId="751C75DD" w14:textId="77777777" w:rsidR="00DA76A3" w:rsidRPr="00DA76A3" w:rsidRDefault="00DA76A3" w:rsidP="00DA76A3">
      <w:pPr>
        <w:pStyle w:val="ListParagraph"/>
        <w:numPr>
          <w:ilvl w:val="0"/>
          <w:numId w:val="16"/>
        </w:numPr>
        <w:spacing w:line="276" w:lineRule="auto"/>
        <w:ind w:left="714" w:hanging="357"/>
        <w:jc w:val="both"/>
        <w:rPr>
          <w:rFonts w:ascii="Times New Roman" w:hAnsi="Times New Roman"/>
          <w:spacing w:val="-2"/>
          <w:sz w:val="24"/>
          <w:szCs w:val="24"/>
        </w:rPr>
      </w:pPr>
      <w:r w:rsidRPr="00DA76A3">
        <w:rPr>
          <w:rFonts w:ascii="Times New Roman" w:hAnsi="Times New Roman"/>
          <w:spacing w:val="-2"/>
          <w:sz w:val="24"/>
          <w:szCs w:val="24"/>
        </w:rPr>
        <w:lastRenderedPageBreak/>
        <w:t xml:space="preserve">Collect data and maintain records of the capacity building activities, both from the RDIs perspective as well as on the effective engagement of the consultants, prepare relevant internal reports, summary reports, inputs for </w:t>
      </w:r>
      <w:proofErr w:type="spellStart"/>
      <w:r w:rsidRPr="00DA76A3">
        <w:rPr>
          <w:rFonts w:ascii="Times New Roman" w:hAnsi="Times New Roman"/>
          <w:spacing w:val="-2"/>
          <w:sz w:val="24"/>
          <w:szCs w:val="24"/>
        </w:rPr>
        <w:t>workplans</w:t>
      </w:r>
      <w:proofErr w:type="spellEnd"/>
      <w:r w:rsidRPr="00DA76A3">
        <w:rPr>
          <w:rFonts w:ascii="Times New Roman" w:hAnsi="Times New Roman"/>
          <w:spacing w:val="-2"/>
          <w:sz w:val="24"/>
          <w:szCs w:val="24"/>
        </w:rPr>
        <w:t>, and briefings;</w:t>
      </w:r>
    </w:p>
    <w:p w14:paraId="5FE291A0" w14:textId="77777777" w:rsidR="00DA76A3" w:rsidRPr="00DA76A3" w:rsidRDefault="00DA76A3" w:rsidP="00DA76A3">
      <w:pPr>
        <w:numPr>
          <w:ilvl w:val="0"/>
          <w:numId w:val="16"/>
        </w:numPr>
        <w:spacing w:before="120" w:after="120" w:line="276" w:lineRule="auto"/>
        <w:contextualSpacing/>
        <w:jc w:val="both"/>
        <w:rPr>
          <w:rFonts w:ascii="Times New Roman" w:hAnsi="Times New Roman"/>
          <w:spacing w:val="-2"/>
          <w:sz w:val="24"/>
          <w:szCs w:val="24"/>
        </w:rPr>
      </w:pPr>
      <w:r w:rsidRPr="00DA76A3">
        <w:rPr>
          <w:rFonts w:ascii="Times New Roman" w:hAnsi="Times New Roman"/>
          <w:spacing w:val="-2"/>
          <w:sz w:val="24"/>
          <w:szCs w:val="24"/>
        </w:rPr>
        <w:t>In coordination with PIU staff, work closely with capacity building providers on implementation of the Technical Assistance activities, organize and coordinate in-person and online trainings, coaching sessions, meetings, lectures and conferences. Monitor and report to PIU on the realization of the training plans for RDIs in line with Transformation process and agreed milestones;</w:t>
      </w:r>
    </w:p>
    <w:p w14:paraId="11F98829" w14:textId="77777777" w:rsidR="00DA76A3" w:rsidRPr="00DA76A3" w:rsidRDefault="00DA76A3" w:rsidP="00DA76A3">
      <w:pPr>
        <w:numPr>
          <w:ilvl w:val="0"/>
          <w:numId w:val="16"/>
        </w:numPr>
        <w:spacing w:before="120" w:after="120" w:line="276" w:lineRule="auto"/>
        <w:contextualSpacing/>
        <w:jc w:val="both"/>
        <w:rPr>
          <w:rFonts w:ascii="Times New Roman" w:hAnsi="Times New Roman"/>
          <w:spacing w:val="-2"/>
          <w:sz w:val="24"/>
          <w:szCs w:val="24"/>
        </w:rPr>
      </w:pPr>
      <w:r w:rsidRPr="00DA76A3">
        <w:rPr>
          <w:rFonts w:ascii="Times New Roman" w:hAnsi="Times New Roman"/>
          <w:spacing w:val="-2"/>
          <w:sz w:val="24"/>
          <w:szCs w:val="24"/>
        </w:rPr>
        <w:t xml:space="preserve">Support Project Manager and RDI Reforms Senior Advisor in fulfilling their daily tasks under 1.2 RDI Reform component: take notes in the meetings with stakeholders, organize meetings, draft reports, etc.  </w:t>
      </w:r>
    </w:p>
    <w:p w14:paraId="2CE948FD" w14:textId="77777777" w:rsidR="00DA76A3" w:rsidRPr="00DA76A3" w:rsidRDefault="00DA76A3" w:rsidP="00DA76A3">
      <w:pPr>
        <w:numPr>
          <w:ilvl w:val="0"/>
          <w:numId w:val="16"/>
        </w:numPr>
        <w:spacing w:line="276" w:lineRule="auto"/>
        <w:ind w:left="714" w:hanging="357"/>
        <w:contextualSpacing/>
        <w:jc w:val="both"/>
        <w:rPr>
          <w:rFonts w:ascii="Times New Roman" w:hAnsi="Times New Roman"/>
          <w:spacing w:val="-2"/>
          <w:sz w:val="24"/>
          <w:szCs w:val="24"/>
        </w:rPr>
      </w:pPr>
      <w:r w:rsidRPr="00DA76A3">
        <w:rPr>
          <w:rFonts w:ascii="Times New Roman" w:hAnsi="Times New Roman"/>
          <w:spacing w:val="-2"/>
          <w:sz w:val="24"/>
          <w:szCs w:val="24"/>
        </w:rPr>
        <w:t>Participate in relevant conferences, workshops, meetings and training events, as required to fulfil tasked role;</w:t>
      </w:r>
    </w:p>
    <w:p w14:paraId="0CA1DF51" w14:textId="477BCEAB" w:rsidR="00DA76A3" w:rsidRPr="00DA76A3" w:rsidRDefault="00DA76A3" w:rsidP="00DA76A3">
      <w:pPr>
        <w:numPr>
          <w:ilvl w:val="0"/>
          <w:numId w:val="16"/>
        </w:numPr>
        <w:spacing w:line="276" w:lineRule="auto"/>
        <w:ind w:left="714" w:hanging="357"/>
        <w:contextualSpacing/>
        <w:jc w:val="both"/>
        <w:rPr>
          <w:rFonts w:ascii="Times New Roman" w:hAnsi="Times New Roman"/>
          <w:spacing w:val="-2"/>
          <w:sz w:val="24"/>
          <w:szCs w:val="24"/>
        </w:rPr>
      </w:pPr>
      <w:r w:rsidRPr="00DA76A3">
        <w:rPr>
          <w:rFonts w:ascii="Times New Roman" w:hAnsi="Times New Roman"/>
          <w:spacing w:val="-2"/>
          <w:sz w:val="24"/>
          <w:szCs w:val="24"/>
        </w:rPr>
        <w:t>Work closely with the PIU team, including the RDI Reforms Senior Adviser</w:t>
      </w:r>
      <w:r w:rsidRPr="00DA76A3">
        <w:rPr>
          <w:rFonts w:ascii="Times New Roman" w:hAnsi="Times New Roman"/>
          <w:spacing w:val="-2"/>
          <w:sz w:val="24"/>
          <w:szCs w:val="24"/>
        </w:rPr>
        <w:t>;</w:t>
      </w:r>
    </w:p>
    <w:p w14:paraId="7C39279A" w14:textId="4253D4C0" w:rsidR="009D07CB" w:rsidRDefault="00DA76A3" w:rsidP="00DA76A3">
      <w:pPr>
        <w:numPr>
          <w:ilvl w:val="0"/>
          <w:numId w:val="16"/>
        </w:numPr>
        <w:spacing w:line="276" w:lineRule="auto"/>
        <w:ind w:left="714" w:hanging="357"/>
        <w:contextualSpacing/>
        <w:jc w:val="both"/>
        <w:rPr>
          <w:rFonts w:ascii="Times New Roman" w:hAnsi="Times New Roman"/>
          <w:spacing w:val="-2"/>
          <w:sz w:val="24"/>
          <w:szCs w:val="24"/>
        </w:rPr>
      </w:pPr>
      <w:r w:rsidRPr="00DA76A3">
        <w:rPr>
          <w:rFonts w:ascii="Times New Roman" w:hAnsi="Times New Roman"/>
          <w:spacing w:val="-2"/>
          <w:sz w:val="24"/>
          <w:szCs w:val="24"/>
        </w:rPr>
        <w:t>Perform other duties in support of Project implementation as required by the Project Manager.</w:t>
      </w:r>
    </w:p>
    <w:p w14:paraId="2515A6D0" w14:textId="77777777" w:rsidR="00DA76A3" w:rsidRPr="00DA76A3" w:rsidRDefault="00DA76A3" w:rsidP="00DA76A3">
      <w:pPr>
        <w:spacing w:line="276" w:lineRule="auto"/>
        <w:ind w:left="714"/>
        <w:contextualSpacing/>
        <w:jc w:val="both"/>
        <w:rPr>
          <w:rFonts w:ascii="Times New Roman" w:hAnsi="Times New Roman"/>
          <w:spacing w:val="-2"/>
          <w:sz w:val="24"/>
          <w:szCs w:val="24"/>
        </w:rPr>
      </w:pPr>
    </w:p>
    <w:p w14:paraId="37B12B11" w14:textId="31B16C73" w:rsidR="009D07CB" w:rsidRPr="003415DE" w:rsidRDefault="003415DE" w:rsidP="009D07CB">
      <w:pPr>
        <w:jc w:val="both"/>
        <w:rPr>
          <w:rFonts w:ascii="Times New Roman" w:hAnsi="Times New Roman"/>
          <w:b/>
          <w:bCs/>
          <w:spacing w:val="-2"/>
          <w:sz w:val="24"/>
          <w:szCs w:val="24"/>
        </w:rPr>
      </w:pPr>
      <w:r w:rsidRPr="003415DE">
        <w:rPr>
          <w:rFonts w:ascii="Times New Roman" w:hAnsi="Times New Roman"/>
          <w:b/>
          <w:bCs/>
          <w:spacing w:val="-2"/>
          <w:sz w:val="24"/>
          <w:szCs w:val="24"/>
        </w:rPr>
        <w:t>Timing and Duration</w:t>
      </w:r>
    </w:p>
    <w:p w14:paraId="7E9A360A" w14:textId="7D181BA9" w:rsidR="003415DE" w:rsidRDefault="003415DE" w:rsidP="009D07CB">
      <w:pPr>
        <w:jc w:val="both"/>
        <w:rPr>
          <w:rFonts w:ascii="Times New Roman" w:hAnsi="Times New Roman"/>
          <w:spacing w:val="-2"/>
          <w:sz w:val="24"/>
          <w:szCs w:val="24"/>
        </w:rPr>
      </w:pPr>
    </w:p>
    <w:p w14:paraId="66D1D37C" w14:textId="77777777" w:rsidR="00DA76A3" w:rsidRPr="00DA76A3" w:rsidRDefault="00DA76A3" w:rsidP="00DA76A3">
      <w:pPr>
        <w:jc w:val="both"/>
        <w:rPr>
          <w:color w:val="000000"/>
          <w:sz w:val="24"/>
          <w:szCs w:val="24"/>
        </w:rPr>
      </w:pPr>
      <w:r w:rsidRPr="00DA76A3">
        <w:rPr>
          <w:color w:val="000000"/>
          <w:sz w:val="24"/>
          <w:szCs w:val="24"/>
        </w:rPr>
        <w:t xml:space="preserve">The Consultant will be engaged on a full-time basis for the duration of one year with a probation period of three (3) months. </w:t>
      </w:r>
    </w:p>
    <w:p w14:paraId="20EA1051" w14:textId="1AAB381F" w:rsidR="003415DE" w:rsidRDefault="00DA76A3" w:rsidP="00DA76A3">
      <w:pPr>
        <w:jc w:val="both"/>
        <w:rPr>
          <w:color w:val="000000"/>
          <w:sz w:val="24"/>
          <w:szCs w:val="24"/>
        </w:rPr>
      </w:pPr>
      <w:r w:rsidRPr="00DA76A3">
        <w:rPr>
          <w:color w:val="000000"/>
          <w:sz w:val="24"/>
          <w:szCs w:val="24"/>
        </w:rPr>
        <w:t>The engagement will be subject to extension based on Project needs and performance of the candidate</w:t>
      </w:r>
      <w:r w:rsidR="003415DE">
        <w:rPr>
          <w:color w:val="000000"/>
          <w:sz w:val="24"/>
          <w:szCs w:val="24"/>
        </w:rPr>
        <w:t>.</w:t>
      </w:r>
    </w:p>
    <w:p w14:paraId="23569A26" w14:textId="77777777" w:rsidR="003415DE" w:rsidRPr="009D07CB" w:rsidRDefault="003415DE" w:rsidP="009D07CB">
      <w:pPr>
        <w:jc w:val="both"/>
        <w:rPr>
          <w:rFonts w:ascii="Times New Roman" w:hAnsi="Times New Roman"/>
          <w:spacing w:val="-2"/>
          <w:sz w:val="24"/>
          <w:szCs w:val="24"/>
        </w:rPr>
      </w:pPr>
    </w:p>
    <w:p w14:paraId="08BCE7E2" w14:textId="58587A00" w:rsidR="00473DE7" w:rsidRDefault="00473DE7" w:rsidP="00473DE7">
      <w:pPr>
        <w:jc w:val="both"/>
        <w:rPr>
          <w:rFonts w:ascii="Times New Roman" w:hAnsi="Times New Roman"/>
          <w:b/>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1A50F37F" w14:textId="70079091" w:rsidR="00DA76A3" w:rsidRPr="00DA76A3" w:rsidRDefault="00DA76A3" w:rsidP="00DA76A3">
      <w:pPr>
        <w:spacing w:before="120" w:after="120" w:line="276" w:lineRule="auto"/>
        <w:contextualSpacing/>
        <w:jc w:val="both"/>
        <w:rPr>
          <w:sz w:val="24"/>
          <w:szCs w:val="24"/>
          <w:lang w:val="en-GB"/>
        </w:rPr>
      </w:pPr>
    </w:p>
    <w:p w14:paraId="2E9A1040" w14:textId="77777777"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 xml:space="preserve">University degree (postgraduate academic or professional degree is an advantage); </w:t>
      </w:r>
    </w:p>
    <w:p w14:paraId="676E3B2B" w14:textId="77777777"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At least three (3) years of professional experience in positions of similar scope and task complexity;</w:t>
      </w:r>
    </w:p>
    <w:p w14:paraId="0AE0CB3F" w14:textId="77777777"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Experience in implementation of at least one (1) multi-beneficiary projects financed/administrated by external donors and/or international organizations;</w:t>
      </w:r>
    </w:p>
    <w:p w14:paraId="6CE1F591" w14:textId="77777777"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Previous professional experience in public sector is an advantage;</w:t>
      </w:r>
    </w:p>
    <w:p w14:paraId="3396B908" w14:textId="77777777"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High level of spoken and written Serbian and English;</w:t>
      </w:r>
    </w:p>
    <w:p w14:paraId="38453D66" w14:textId="4618CEAB"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Advanced project management skills, team and task organ</w:t>
      </w:r>
      <w:r>
        <w:rPr>
          <w:sz w:val="24"/>
          <w:szCs w:val="24"/>
          <w:lang w:val="en-GB"/>
        </w:rPr>
        <w:t>ization and coordination skills;</w:t>
      </w:r>
    </w:p>
    <w:p w14:paraId="5351558F" w14:textId="77777777" w:rsidR="00DA76A3" w:rsidRPr="00DA76A3"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Good communication, data analysis and computer skills;</w:t>
      </w:r>
    </w:p>
    <w:p w14:paraId="2D758025" w14:textId="40BD3FB3" w:rsidR="00B246A0" w:rsidRPr="003E3C04" w:rsidRDefault="00DA76A3" w:rsidP="00DA76A3">
      <w:pPr>
        <w:numPr>
          <w:ilvl w:val="0"/>
          <w:numId w:val="13"/>
        </w:numPr>
        <w:spacing w:before="120" w:after="120" w:line="276" w:lineRule="auto"/>
        <w:contextualSpacing/>
        <w:jc w:val="both"/>
        <w:rPr>
          <w:sz w:val="24"/>
          <w:szCs w:val="24"/>
          <w:lang w:val="en-GB"/>
        </w:rPr>
      </w:pPr>
      <w:r w:rsidRPr="00DA76A3">
        <w:rPr>
          <w:sz w:val="24"/>
          <w:szCs w:val="24"/>
          <w:lang w:val="en-GB"/>
        </w:rPr>
        <w:t>Demonstrated ability to work in a team and with tight deadlines</w:t>
      </w:r>
      <w:r>
        <w:rPr>
          <w:sz w:val="24"/>
          <w:szCs w:val="24"/>
          <w:lang w:val="en-GB"/>
        </w:rPr>
        <w:t>.</w:t>
      </w:r>
    </w:p>
    <w:p w14:paraId="3C686940" w14:textId="77FB782B" w:rsidR="007C31FA" w:rsidRPr="007C31FA" w:rsidRDefault="007C31FA" w:rsidP="007C31FA">
      <w:pPr>
        <w:jc w:val="both"/>
        <w:rPr>
          <w:rFonts w:ascii="Times New Roman" w:hAnsi="Times New Roman"/>
          <w:sz w:val="24"/>
          <w:szCs w:val="24"/>
        </w:rPr>
      </w:pPr>
    </w:p>
    <w:p w14:paraId="12846515" w14:textId="4304A015"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w:t>
      </w:r>
      <w:r w:rsidRPr="00217E25">
        <w:rPr>
          <w:rFonts w:ascii="Times New Roman" w:hAnsi="Times New Roman"/>
          <w:spacing w:val="-2"/>
          <w:sz w:val="24"/>
          <w:szCs w:val="24"/>
        </w:rPr>
        <w:lastRenderedPageBreak/>
        <w:t xml:space="preserve">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D386E51"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Pr>
          <w:rFonts w:ascii="Times New Roman" w:hAnsi="Times New Roman"/>
          <w:spacing w:val="-2"/>
          <w:sz w:val="24"/>
          <w:szCs w:val="24"/>
        </w:rPr>
        <w:t>General Experience</w:t>
      </w:r>
      <w:r w:rsidR="00DC3271">
        <w:rPr>
          <w:rFonts w:ascii="Times New Roman" w:hAnsi="Times New Roman"/>
          <w:spacing w:val="-2"/>
          <w:sz w:val="24"/>
          <w:szCs w:val="24"/>
        </w:rPr>
        <w:tab/>
      </w:r>
      <w:r w:rsidR="00DC3271">
        <w:rPr>
          <w:rFonts w:ascii="Times New Roman" w:hAnsi="Times New Roman"/>
          <w:spacing w:val="-2"/>
          <w:sz w:val="24"/>
          <w:szCs w:val="24"/>
        </w:rPr>
        <w:tab/>
      </w:r>
      <w:r w:rsidR="00DC3271">
        <w:rPr>
          <w:rFonts w:ascii="Times New Roman" w:hAnsi="Times New Roman"/>
          <w:spacing w:val="-2"/>
          <w:sz w:val="24"/>
          <w:szCs w:val="24"/>
        </w:rPr>
        <w:tab/>
      </w:r>
      <w:r w:rsidR="00DC3271">
        <w:rPr>
          <w:rFonts w:ascii="Times New Roman" w:hAnsi="Times New Roman"/>
          <w:spacing w:val="-2"/>
          <w:sz w:val="24"/>
          <w:szCs w:val="24"/>
        </w:rPr>
        <w:tab/>
      </w:r>
      <w:r w:rsidRPr="000A7704">
        <w:rPr>
          <w:rFonts w:ascii="Times New Roman" w:hAnsi="Times New Roman"/>
          <w:spacing w:val="-2"/>
          <w:sz w:val="24"/>
          <w:szCs w:val="24"/>
        </w:rPr>
        <w:t xml:space="preserve">                   </w:t>
      </w:r>
      <w:proofErr w:type="gramStart"/>
      <w:r>
        <w:rPr>
          <w:rFonts w:ascii="Times New Roman" w:hAnsi="Times New Roman"/>
          <w:spacing w:val="-2"/>
          <w:sz w:val="24"/>
          <w:szCs w:val="24"/>
        </w:rPr>
        <w:tab/>
      </w:r>
      <w:r w:rsidRPr="000A7704">
        <w:rPr>
          <w:rFonts w:ascii="Times New Roman" w:hAnsi="Times New Roman"/>
          <w:spacing w:val="-2"/>
          <w:sz w:val="24"/>
          <w:szCs w:val="24"/>
        </w:rPr>
        <w:t>( 40</w:t>
      </w:r>
      <w:proofErr w:type="gramEnd"/>
      <w:r w:rsidRPr="000A7704">
        <w:rPr>
          <w:rFonts w:ascii="Times New Roman" w:hAnsi="Times New Roman"/>
          <w:spacing w:val="-2"/>
          <w:sz w:val="24"/>
          <w:szCs w:val="24"/>
        </w:rPr>
        <w:t xml:space="preserve"> Points)</w:t>
      </w:r>
    </w:p>
    <w:p w14:paraId="0EF00470" w14:textId="094A7200"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 xml:space="preserve">Specific Experience relevant to the Assignment        </w:t>
      </w:r>
      <w:r>
        <w:rPr>
          <w:rFonts w:ascii="Times New Roman" w:hAnsi="Times New Roman"/>
          <w:spacing w:val="-2"/>
          <w:sz w:val="24"/>
          <w:szCs w:val="24"/>
        </w:rPr>
        <w:tab/>
      </w:r>
      <w:proofErr w:type="gramStart"/>
      <w:r w:rsidR="00DC3271">
        <w:rPr>
          <w:rFonts w:ascii="Times New Roman" w:hAnsi="Times New Roman"/>
          <w:spacing w:val="-2"/>
          <w:sz w:val="24"/>
          <w:szCs w:val="24"/>
        </w:rPr>
        <w:tab/>
      </w:r>
      <w:r w:rsidRPr="000A7704">
        <w:rPr>
          <w:rFonts w:ascii="Times New Roman" w:hAnsi="Times New Roman"/>
          <w:spacing w:val="-2"/>
          <w:sz w:val="24"/>
          <w:szCs w:val="24"/>
        </w:rPr>
        <w:t>( 60</w:t>
      </w:r>
      <w:proofErr w:type="gramEnd"/>
      <w:r w:rsidRPr="000A7704">
        <w:rPr>
          <w:rFonts w:ascii="Times New Roman" w:hAnsi="Times New Roman"/>
          <w:spacing w:val="-2"/>
          <w:sz w:val="24"/>
          <w:szCs w:val="24"/>
        </w:rPr>
        <w:t xml:space="preserve">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26E05135"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(July 2016, revised November 2017 and August 2018</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1D7078E" w14:textId="77777777" w:rsidR="007C13EC" w:rsidRPr="00217E25" w:rsidRDefault="007C13EC">
      <w:pPr>
        <w:suppressAutoHyphens/>
        <w:rPr>
          <w:rFonts w:ascii="Times New Roman" w:hAnsi="Times New Roman"/>
          <w:spacing w:val="-2"/>
          <w:sz w:val="24"/>
          <w:szCs w:val="24"/>
        </w:rPr>
      </w:pPr>
    </w:p>
    <w:p w14:paraId="7149AA40" w14:textId="77777777"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07FD5DE9" w14:textId="31CDE68F" w:rsidR="009830E4" w:rsidRDefault="009830E4" w:rsidP="00CD54B9">
      <w:pPr>
        <w:jc w:val="both"/>
        <w:rPr>
          <w:rFonts w:ascii="Times New Roman" w:hAnsi="Times New Roman"/>
          <w:spacing w:val="-2"/>
          <w:sz w:val="24"/>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DA76A3">
        <w:rPr>
          <w:rFonts w:ascii="Times New Roman" w:hAnsi="Times New Roman"/>
          <w:b/>
          <w:spacing w:val="-2"/>
          <w:sz w:val="24"/>
          <w:szCs w:val="24"/>
        </w:rPr>
        <w:t>August 19</w:t>
      </w:r>
      <w:bookmarkStart w:id="0" w:name="_GoBack"/>
      <w:bookmarkEnd w:id="0"/>
      <w:r w:rsidR="00DE64C9" w:rsidRPr="00EC3EA0">
        <w:rPr>
          <w:rFonts w:ascii="Times New Roman" w:hAnsi="Times New Roman"/>
          <w:b/>
          <w:spacing w:val="-2"/>
          <w:sz w:val="24"/>
          <w:szCs w:val="24"/>
        </w:rPr>
        <w:t>, 20</w:t>
      </w:r>
      <w:r w:rsidR="00E25458">
        <w:rPr>
          <w:rFonts w:ascii="Times New Roman" w:hAnsi="Times New Roman"/>
          <w:b/>
          <w:spacing w:val="-2"/>
          <w:sz w:val="24"/>
          <w:szCs w:val="24"/>
        </w:rPr>
        <w:t>2</w:t>
      </w:r>
      <w:r w:rsidR="00DC3271">
        <w:rPr>
          <w:rFonts w:ascii="Times New Roman" w:hAnsi="Times New Roman"/>
          <w:b/>
          <w:spacing w:val="-2"/>
          <w:sz w:val="24"/>
          <w:szCs w:val="24"/>
        </w:rPr>
        <w:t>2</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r w:rsidR="00CD54B9" w:rsidRPr="008F177F">
        <w:rPr>
          <w:rFonts w:ascii="Times New Roman" w:hAnsi="Times New Roman"/>
          <w:sz w:val="24"/>
          <w:szCs w:val="24"/>
        </w:rPr>
        <w:t xml:space="preserve">Interested consultants must provide </w:t>
      </w:r>
      <w:r w:rsidR="00CD54B9" w:rsidRPr="008F177F">
        <w:rPr>
          <w:rFonts w:ascii="Times New Roman" w:hAnsi="Times New Roman"/>
          <w:b/>
          <w:sz w:val="24"/>
          <w:szCs w:val="24"/>
        </w:rPr>
        <w:t>Cover Letter</w:t>
      </w:r>
      <w:r w:rsidR="00CD54B9" w:rsidRPr="008F177F">
        <w:rPr>
          <w:rFonts w:ascii="Times New Roman" w:hAnsi="Times New Roman"/>
          <w:sz w:val="24"/>
          <w:szCs w:val="24"/>
        </w:rPr>
        <w:t xml:space="preserve"> </w:t>
      </w:r>
      <w:r w:rsidR="00127F0A">
        <w:rPr>
          <w:rFonts w:ascii="Times New Roman" w:hAnsi="Times New Roman"/>
          <w:sz w:val="24"/>
          <w:szCs w:val="24"/>
        </w:rPr>
        <w:t>(</w:t>
      </w:r>
      <w:r w:rsidR="00127F0A" w:rsidRPr="000C1A70">
        <w:rPr>
          <w:rFonts w:ascii="Times New Roman" w:hAnsi="Times New Roman"/>
          <w:b/>
          <w:sz w:val="24"/>
          <w:szCs w:val="24"/>
        </w:rPr>
        <w:t xml:space="preserve">name and reference number of the assignment to be </w:t>
      </w:r>
      <w:r w:rsidR="000C1A70" w:rsidRPr="000C1A70">
        <w:rPr>
          <w:rFonts w:ascii="Times New Roman" w:hAnsi="Times New Roman"/>
          <w:b/>
          <w:sz w:val="24"/>
          <w:szCs w:val="24"/>
        </w:rPr>
        <w:t>indicated in the email</w:t>
      </w:r>
      <w:r w:rsidR="000C1A70">
        <w:rPr>
          <w:rFonts w:ascii="Times New Roman" w:hAnsi="Times New Roman"/>
          <w:sz w:val="24"/>
          <w:szCs w:val="24"/>
        </w:rPr>
        <w:t xml:space="preserve">) </w:t>
      </w:r>
      <w:r w:rsidR="00CD54B9" w:rsidRPr="008F177F">
        <w:rPr>
          <w:rFonts w:ascii="Times New Roman" w:hAnsi="Times New Roman"/>
          <w:sz w:val="24"/>
          <w:szCs w:val="24"/>
        </w:rPr>
        <w:t xml:space="preserve">and </w:t>
      </w:r>
      <w:r w:rsidR="00CD54B9" w:rsidRPr="008F177F">
        <w:rPr>
          <w:rFonts w:ascii="Times New Roman" w:hAnsi="Times New Roman"/>
          <w:b/>
          <w:sz w:val="24"/>
          <w:szCs w:val="24"/>
        </w:rPr>
        <w:t>CV</w:t>
      </w:r>
      <w:r w:rsidR="00CD54B9" w:rsidRPr="008F177F">
        <w:rPr>
          <w:rFonts w:ascii="Times New Roman" w:hAnsi="Times New Roman"/>
          <w:sz w:val="24"/>
          <w:szCs w:val="24"/>
        </w:rPr>
        <w:t xml:space="preserve"> representing description of similar assignments, experience in similar conditions and availability of appropriate skills</w:t>
      </w:r>
      <w:r w:rsidR="00CD54B9">
        <w:rPr>
          <w:rFonts w:ascii="Times New Roman" w:hAnsi="Times New Roman"/>
          <w:sz w:val="24"/>
          <w:szCs w:val="24"/>
        </w:rPr>
        <w:t xml:space="preserve"> </w:t>
      </w:r>
      <w:r w:rsidR="00CD54B9" w:rsidRPr="00C01F58">
        <w:rPr>
          <w:rFonts w:ascii="Times New Roman" w:hAnsi="Times New Roman"/>
          <w:sz w:val="24"/>
          <w:szCs w:val="24"/>
        </w:rPr>
        <w:t>(</w:t>
      </w:r>
      <w:r w:rsidR="00CD54B9" w:rsidRPr="00AF5444">
        <w:rPr>
          <w:rFonts w:ascii="Times New Roman" w:hAnsi="Times New Roman"/>
          <w:b/>
          <w:sz w:val="24"/>
          <w:szCs w:val="24"/>
        </w:rPr>
        <w:t>scanned diplomas to be sent with CV</w:t>
      </w:r>
      <w:r w:rsidR="00CD54B9" w:rsidRPr="00C01F58">
        <w:rPr>
          <w:rFonts w:ascii="Times New Roman" w:hAnsi="Times New Roman"/>
          <w:sz w:val="24"/>
          <w:szCs w:val="24"/>
        </w:rPr>
        <w:t>)</w:t>
      </w:r>
      <w:r w:rsidR="00CD54B9"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5B5D04"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4567D3" w:rsidP="00982D78">
            <w:pPr>
              <w:spacing w:line="360" w:lineRule="atLeast"/>
              <w:rPr>
                <w:rFonts w:ascii="Times New Roman" w:hAnsi="Times New Roman"/>
                <w:spacing w:val="-2"/>
                <w:sz w:val="24"/>
                <w:szCs w:val="24"/>
              </w:rPr>
            </w:pPr>
            <w:hyperlink r:id="rId8"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w:t>
            </w:r>
            <w:proofErr w:type="spellStart"/>
            <w:r w:rsidRPr="00E40280">
              <w:rPr>
                <w:rFonts w:ascii="Times New Roman" w:hAnsi="Times New Roman"/>
                <w:spacing w:val="-2"/>
                <w:sz w:val="24"/>
              </w:rPr>
              <w:t>Krejovic</w:t>
            </w:r>
            <w:proofErr w:type="spellEnd"/>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737F0AE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3-5 Sremska St</w:t>
            </w:r>
          </w:p>
          <w:p w14:paraId="6BD11B6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11000 Belgrade, Serbia</w:t>
            </w:r>
          </w:p>
          <w:p w14:paraId="50141036" w14:textId="78B6E751" w:rsidR="00FF5DF7" w:rsidRPr="009D07CB" w:rsidRDefault="00FF5DF7" w:rsidP="00E25458">
            <w:pPr>
              <w:spacing w:before="120"/>
              <w:rPr>
                <w:rFonts w:ascii="Times New Roman" w:hAnsi="Times New Roman"/>
                <w:spacing w:val="-2"/>
                <w:sz w:val="24"/>
                <w:lang w:val="de-AT"/>
              </w:rPr>
            </w:pPr>
            <w:r w:rsidRPr="009D07CB">
              <w:rPr>
                <w:rFonts w:ascii="Times New Roman" w:hAnsi="Times New Roman"/>
                <w:spacing w:val="-2"/>
                <w:sz w:val="24"/>
                <w:lang w:val="de-AT"/>
              </w:rPr>
              <w:t xml:space="preserve">Tel: (+381 11) </w:t>
            </w:r>
            <w:r w:rsidR="00DC3271" w:rsidRPr="00DC3271">
              <w:rPr>
                <w:rFonts w:ascii="Times New Roman" w:hAnsi="Times New Roman"/>
                <w:spacing w:val="-2"/>
                <w:sz w:val="24"/>
                <w:lang w:val="de-AT"/>
              </w:rPr>
              <w:t>7652652</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7FB6A43A" w14:textId="77777777" w:rsidR="00FF5DF7" w:rsidRPr="00E40280" w:rsidRDefault="004567D3" w:rsidP="00982D78">
            <w:pPr>
              <w:spacing w:line="360" w:lineRule="atLeast"/>
              <w:rPr>
                <w:rFonts w:ascii="Times New Roman" w:hAnsi="Times New Roman"/>
                <w:spacing w:val="-2"/>
                <w:sz w:val="24"/>
                <w:szCs w:val="24"/>
              </w:rPr>
            </w:pPr>
            <w:hyperlink r:id="rId9" w:history="1">
              <w:r w:rsidR="00FF5DF7" w:rsidRPr="00E40280">
                <w:rPr>
                  <w:rStyle w:val="Hyperlink"/>
                  <w:rFonts w:ascii="Times New Roman" w:hAnsi="Times New Roman"/>
                  <w:sz w:val="24"/>
                  <w:szCs w:val="24"/>
                </w:rPr>
                <w:t>ljiljana.dzuver@mfin.gov.rs</w:t>
              </w:r>
            </w:hyperlink>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579388C0" w14:textId="37FBCDAA" w:rsidR="00D563DE" w:rsidRDefault="004567D3" w:rsidP="00E25458">
            <w:pPr>
              <w:pStyle w:val="NormalWeb"/>
              <w:jc w:val="both"/>
            </w:pPr>
            <w:hyperlink r:id="rId10" w:history="1">
              <w:r w:rsidR="00DC3271" w:rsidRPr="00F1508B">
                <w:rPr>
                  <w:rStyle w:val="Hyperlink"/>
                </w:rPr>
                <w:t>viktor.nedovic@mpn.gov.rs</w:t>
              </w:r>
            </w:hyperlink>
          </w:p>
          <w:p w14:paraId="52173E85" w14:textId="5110B86B" w:rsidR="00DC3271" w:rsidRDefault="004567D3" w:rsidP="00E25458">
            <w:pPr>
              <w:pStyle w:val="NormalWeb"/>
              <w:jc w:val="both"/>
            </w:pPr>
            <w:hyperlink r:id="rId11" w:history="1">
              <w:r w:rsidR="00DC3271" w:rsidRPr="00F1508B">
                <w:rPr>
                  <w:rStyle w:val="Hyperlink"/>
                </w:rPr>
                <w:t>tijana.knezevic@mpn.gov.rs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7426" w14:textId="77777777" w:rsidR="004567D3" w:rsidRDefault="004567D3">
      <w:r>
        <w:separator/>
      </w:r>
    </w:p>
  </w:endnote>
  <w:endnote w:type="continuationSeparator" w:id="0">
    <w:p w14:paraId="2FF53EB0" w14:textId="77777777" w:rsidR="004567D3" w:rsidRDefault="004567D3">
      <w:r>
        <w:rPr>
          <w:sz w:val="24"/>
        </w:rPr>
        <w:t xml:space="preserve"> </w:t>
      </w:r>
    </w:p>
  </w:endnote>
  <w:endnote w:type="continuationNotice" w:id="1">
    <w:p w14:paraId="41179F47" w14:textId="77777777" w:rsidR="004567D3" w:rsidRDefault="004567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A234" w14:textId="77777777" w:rsidR="004567D3" w:rsidRDefault="004567D3">
      <w:r>
        <w:rPr>
          <w:sz w:val="24"/>
        </w:rPr>
        <w:separator/>
      </w:r>
    </w:p>
  </w:footnote>
  <w:footnote w:type="continuationSeparator" w:id="0">
    <w:p w14:paraId="676A5935" w14:textId="77777777" w:rsidR="004567D3" w:rsidRDefault="004567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75DB0"/>
    <w:multiLevelType w:val="hybridMultilevel"/>
    <w:tmpl w:val="D632CEF6"/>
    <w:lvl w:ilvl="0" w:tplc="4A0AC268">
      <w:start w:val="1"/>
      <w:numFmt w:val="bullet"/>
      <w:lvlText w:val=""/>
      <w:lvlJc w:val="left"/>
      <w:pPr>
        <w:ind w:left="720" w:hanging="360"/>
      </w:pPr>
      <w:rPr>
        <w:rFonts w:ascii="Wingdings" w:hAnsi="Wingdings" w:hint="default"/>
        <w:color w:val="6D6E7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1A483A"/>
    <w:multiLevelType w:val="hybridMultilevel"/>
    <w:tmpl w:val="3590532E"/>
    <w:lvl w:ilvl="0" w:tplc="1009000F">
      <w:start w:val="1"/>
      <w:numFmt w:val="decimal"/>
      <w:lvlText w:val="%1."/>
      <w:lvlJc w:val="left"/>
      <w:pPr>
        <w:ind w:left="720" w:hanging="360"/>
      </w:pPr>
      <w:rPr>
        <w:rFonts w:hint="default"/>
        <w:color w:val="6D6E7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A353CD"/>
    <w:multiLevelType w:val="hybridMultilevel"/>
    <w:tmpl w:val="2D5C8FA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3"/>
  </w:num>
  <w:num w:numId="5">
    <w:abstractNumId w:val="1"/>
  </w:num>
  <w:num w:numId="6">
    <w:abstractNumId w:val="11"/>
  </w:num>
  <w:num w:numId="7">
    <w:abstractNumId w:val="10"/>
  </w:num>
  <w:num w:numId="8">
    <w:abstractNumId w:val="12"/>
  </w:num>
  <w:num w:numId="9">
    <w:abstractNumId w:val="0"/>
  </w:num>
  <w:num w:numId="10">
    <w:abstractNumId w:val="14"/>
  </w:num>
  <w:num w:numId="11">
    <w:abstractNumId w:val="6"/>
  </w:num>
  <w:num w:numId="12">
    <w:abstractNumId w:val="7"/>
  </w:num>
  <w:num w:numId="13">
    <w:abstractNumId w:val="5"/>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1A70"/>
    <w:rsid w:val="000C4041"/>
    <w:rsid w:val="000F7A9C"/>
    <w:rsid w:val="00115846"/>
    <w:rsid w:val="001166F3"/>
    <w:rsid w:val="00123D63"/>
    <w:rsid w:val="00124F37"/>
    <w:rsid w:val="00127F0A"/>
    <w:rsid w:val="0018597D"/>
    <w:rsid w:val="001A5D44"/>
    <w:rsid w:val="001B06FD"/>
    <w:rsid w:val="001B0D84"/>
    <w:rsid w:val="001D70EB"/>
    <w:rsid w:val="002140D1"/>
    <w:rsid w:val="00217E25"/>
    <w:rsid w:val="00234E85"/>
    <w:rsid w:val="002727A9"/>
    <w:rsid w:val="002A1EFC"/>
    <w:rsid w:val="002A580B"/>
    <w:rsid w:val="002B3FAB"/>
    <w:rsid w:val="002C7A2C"/>
    <w:rsid w:val="0030697E"/>
    <w:rsid w:val="0033170E"/>
    <w:rsid w:val="003415DE"/>
    <w:rsid w:val="0035409F"/>
    <w:rsid w:val="0035520E"/>
    <w:rsid w:val="00357959"/>
    <w:rsid w:val="00377776"/>
    <w:rsid w:val="00392917"/>
    <w:rsid w:val="003A3B7F"/>
    <w:rsid w:val="003B1240"/>
    <w:rsid w:val="003C58AB"/>
    <w:rsid w:val="003E3C04"/>
    <w:rsid w:val="00406EB3"/>
    <w:rsid w:val="00436AB8"/>
    <w:rsid w:val="004567D3"/>
    <w:rsid w:val="00473DE7"/>
    <w:rsid w:val="004751C2"/>
    <w:rsid w:val="004E4B87"/>
    <w:rsid w:val="004E5125"/>
    <w:rsid w:val="004E721D"/>
    <w:rsid w:val="004F2B9A"/>
    <w:rsid w:val="004F4CD7"/>
    <w:rsid w:val="005117C9"/>
    <w:rsid w:val="00520D20"/>
    <w:rsid w:val="005279AF"/>
    <w:rsid w:val="00553DB1"/>
    <w:rsid w:val="005865E7"/>
    <w:rsid w:val="005A16AF"/>
    <w:rsid w:val="005A180D"/>
    <w:rsid w:val="005B5D04"/>
    <w:rsid w:val="005C3A69"/>
    <w:rsid w:val="005E02F2"/>
    <w:rsid w:val="005F591A"/>
    <w:rsid w:val="00603AFF"/>
    <w:rsid w:val="00607FDC"/>
    <w:rsid w:val="006134C9"/>
    <w:rsid w:val="00625388"/>
    <w:rsid w:val="006311BC"/>
    <w:rsid w:val="006459D2"/>
    <w:rsid w:val="00652BAB"/>
    <w:rsid w:val="00652FC7"/>
    <w:rsid w:val="00653213"/>
    <w:rsid w:val="00664033"/>
    <w:rsid w:val="0068331F"/>
    <w:rsid w:val="006879EC"/>
    <w:rsid w:val="006A15EC"/>
    <w:rsid w:val="006D6898"/>
    <w:rsid w:val="006E5B66"/>
    <w:rsid w:val="006F3706"/>
    <w:rsid w:val="006F64BB"/>
    <w:rsid w:val="006F7D17"/>
    <w:rsid w:val="00743271"/>
    <w:rsid w:val="00793A9A"/>
    <w:rsid w:val="0079727D"/>
    <w:rsid w:val="007B239D"/>
    <w:rsid w:val="007B73A2"/>
    <w:rsid w:val="007C13EC"/>
    <w:rsid w:val="007C31FA"/>
    <w:rsid w:val="007D59F6"/>
    <w:rsid w:val="008260D8"/>
    <w:rsid w:val="008377D2"/>
    <w:rsid w:val="008432B9"/>
    <w:rsid w:val="00845EDA"/>
    <w:rsid w:val="008768F0"/>
    <w:rsid w:val="008929AC"/>
    <w:rsid w:val="008A4AA7"/>
    <w:rsid w:val="008D0C09"/>
    <w:rsid w:val="008F7BF0"/>
    <w:rsid w:val="00916E24"/>
    <w:rsid w:val="00930D65"/>
    <w:rsid w:val="00940E78"/>
    <w:rsid w:val="009830E4"/>
    <w:rsid w:val="00994B88"/>
    <w:rsid w:val="009B1125"/>
    <w:rsid w:val="009B499D"/>
    <w:rsid w:val="009D07CB"/>
    <w:rsid w:val="009E196C"/>
    <w:rsid w:val="009E1E12"/>
    <w:rsid w:val="00A05A45"/>
    <w:rsid w:val="00A16EC9"/>
    <w:rsid w:val="00A36B57"/>
    <w:rsid w:val="00AB40E2"/>
    <w:rsid w:val="00AC133F"/>
    <w:rsid w:val="00AF2E68"/>
    <w:rsid w:val="00B246A0"/>
    <w:rsid w:val="00B3630A"/>
    <w:rsid w:val="00B4469E"/>
    <w:rsid w:val="00B707EA"/>
    <w:rsid w:val="00BA4299"/>
    <w:rsid w:val="00BB1579"/>
    <w:rsid w:val="00BB580B"/>
    <w:rsid w:val="00BC1BB9"/>
    <w:rsid w:val="00BD6CBC"/>
    <w:rsid w:val="00BE09A2"/>
    <w:rsid w:val="00BF3C6F"/>
    <w:rsid w:val="00C40507"/>
    <w:rsid w:val="00C61EF4"/>
    <w:rsid w:val="00C750A4"/>
    <w:rsid w:val="00CA1CA1"/>
    <w:rsid w:val="00CD54B9"/>
    <w:rsid w:val="00D200D6"/>
    <w:rsid w:val="00D50A97"/>
    <w:rsid w:val="00D563DE"/>
    <w:rsid w:val="00D70AFC"/>
    <w:rsid w:val="00DA76A3"/>
    <w:rsid w:val="00DB6AED"/>
    <w:rsid w:val="00DB7B9A"/>
    <w:rsid w:val="00DC3271"/>
    <w:rsid w:val="00DC723F"/>
    <w:rsid w:val="00DD74D3"/>
    <w:rsid w:val="00DE64C9"/>
    <w:rsid w:val="00E07E32"/>
    <w:rsid w:val="00E25458"/>
    <w:rsid w:val="00E62637"/>
    <w:rsid w:val="00EB5460"/>
    <w:rsid w:val="00EC3EA0"/>
    <w:rsid w:val="00EC50B8"/>
    <w:rsid w:val="00F02757"/>
    <w:rsid w:val="00F17486"/>
    <w:rsid w:val="00F17721"/>
    <w:rsid w:val="00F251B1"/>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paragraph" w:customStyle="1" w:styleId="Default">
    <w:name w:val="Default"/>
    <w:rsid w:val="00B246A0"/>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jana.knezevic@mpn.gov.rs" TargetMode="External"/><Relationship Id="rId5" Type="http://schemas.openxmlformats.org/officeDocument/2006/relationships/webSettings" Target="webSettings.xml"/><Relationship Id="rId10" Type="http://schemas.openxmlformats.org/officeDocument/2006/relationships/hyperlink" Target="mailto:viktor.nedovic@mp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8C6B-339E-4BFF-ACEF-3B106EBE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6490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Ljiljana Krejović</cp:lastModifiedBy>
  <cp:revision>3</cp:revision>
  <cp:lastPrinted>2011-11-02T17:37:00Z</cp:lastPrinted>
  <dcterms:created xsi:type="dcterms:W3CDTF">2022-07-29T07:18:00Z</dcterms:created>
  <dcterms:modified xsi:type="dcterms:W3CDTF">2022-07-29T07:26:00Z</dcterms:modified>
</cp:coreProperties>
</file>